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C8" w:rsidRDefault="006E40C8" w:rsidP="00D71292">
      <w:pPr>
        <w:spacing w:after="0" w:line="288" w:lineRule="auto"/>
        <w:jc w:val="right"/>
        <w:rPr>
          <w:rFonts w:asciiTheme="minorHAnsi" w:eastAsiaTheme="minorHAnsi" w:hAnsiTheme="minorHAnsi" w:cstheme="minorBidi"/>
          <w:bCs/>
          <w:i/>
          <w:lang w:eastAsia="en-US"/>
        </w:rPr>
      </w:pPr>
      <w:r w:rsidRPr="008866C1">
        <w:rPr>
          <w:rFonts w:asciiTheme="minorHAnsi" w:eastAsiaTheme="minorHAnsi" w:hAnsiTheme="minorHAnsi" w:cstheme="minorBidi"/>
          <w:bCs/>
          <w:i/>
          <w:lang w:eastAsia="en-US"/>
        </w:rPr>
        <w:t xml:space="preserve">ALLEGATO </w:t>
      </w:r>
      <w:r>
        <w:rPr>
          <w:rFonts w:asciiTheme="minorHAnsi" w:eastAsiaTheme="minorHAnsi" w:hAnsiTheme="minorHAnsi" w:cstheme="minorBidi"/>
          <w:bCs/>
          <w:i/>
          <w:lang w:eastAsia="en-US"/>
        </w:rPr>
        <w:t xml:space="preserve">“B” </w:t>
      </w:r>
    </w:p>
    <w:p w:rsidR="008D6436" w:rsidRPr="006E40C8" w:rsidRDefault="006E40C8" w:rsidP="00D71292">
      <w:pPr>
        <w:spacing w:before="240" w:after="360" w:line="288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B5C39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DICHIARAZIONE RILASCIATA AI SENSI DEGLI ARTT. 46 E 47 DEL D.P.R. 445/2000</w:t>
      </w:r>
    </w:p>
    <w:tbl>
      <w:tblPr>
        <w:tblStyle w:val="Grigliatabella"/>
        <w:tblW w:w="9639" w:type="dxa"/>
        <w:jc w:val="center"/>
        <w:tblLook w:val="04A0"/>
      </w:tblPr>
      <w:tblGrid>
        <w:gridCol w:w="1134"/>
        <w:gridCol w:w="8505"/>
      </w:tblGrid>
      <w:tr w:rsidR="008D6436" w:rsidRPr="004B5C39" w:rsidTr="00631DF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6436" w:rsidRPr="00002FC3" w:rsidRDefault="008D6436" w:rsidP="00631DFD">
            <w:pPr>
              <w:jc w:val="center"/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002FC3">
              <w:rPr>
                <w:rFonts w:asciiTheme="minorHAnsi" w:eastAsiaTheme="minorHAnsi" w:hAnsiTheme="minorHAnsi" w:cstheme="minorHAnsi"/>
                <w:b/>
                <w:lang w:eastAsia="en-US"/>
              </w:rPr>
              <w:t>Oggetto: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13A96" w:rsidRPr="00002FC3" w:rsidRDefault="008D6436" w:rsidP="008D643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02FC3">
              <w:rPr>
                <w:rFonts w:asciiTheme="minorHAnsi" w:hAnsiTheme="minorHAnsi" w:cstheme="minorHAnsi"/>
                <w:b/>
                <w:bCs/>
              </w:rPr>
              <w:t>Richiesta di Offerta per l’affidamento del servizio di o</w:t>
            </w:r>
            <w:r w:rsidR="00413A96" w:rsidRPr="00002FC3">
              <w:rPr>
                <w:rFonts w:asciiTheme="minorHAnsi" w:hAnsiTheme="minorHAnsi" w:cstheme="minorHAnsi"/>
                <w:b/>
                <w:bCs/>
              </w:rPr>
              <w:t>rganizzazione e realizzazione del</w:t>
            </w:r>
          </w:p>
          <w:p w:rsidR="00413A96" w:rsidRPr="00002FC3" w:rsidRDefault="00413A96" w:rsidP="00413A96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02FC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Progetto 10.6.6B FSEPON-PU-2017-37 - Azione 10.6.6 Sotto azione 10.6.6B: “GLOBAL EXPERIENCE ON THE JOB” </w:t>
            </w:r>
          </w:p>
          <w:p w:rsidR="008D6436" w:rsidRPr="00002FC3" w:rsidRDefault="004F5553" w:rsidP="008D6436">
            <w:pPr>
              <w:spacing w:after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2FC3">
              <w:rPr>
                <w:rFonts w:asciiTheme="minorHAnsi" w:hAnsiTheme="minorHAnsi" w:cstheme="minorHAnsi"/>
                <w:b/>
                <w:bCs/>
              </w:rPr>
              <w:t xml:space="preserve">CIG: </w:t>
            </w:r>
            <w:r w:rsidR="00002FC3" w:rsidRPr="00002FC3">
              <w:rPr>
                <w:bCs/>
                <w:i/>
                <w:color w:val="000000"/>
                <w:sz w:val="24"/>
                <w:szCs w:val="24"/>
              </w:rPr>
              <w:t>7525562239</w:t>
            </w:r>
            <w:bookmarkStart w:id="0" w:name="_GoBack"/>
            <w:bookmarkEnd w:id="0"/>
          </w:p>
        </w:tc>
      </w:tr>
    </w:tbl>
    <w:p w:rsidR="006E40C8" w:rsidRDefault="006E40C8" w:rsidP="008D6436">
      <w:pPr>
        <w:spacing w:after="0" w:line="312" w:lineRule="auto"/>
        <w:jc w:val="both"/>
        <w:rPr>
          <w:rFonts w:asciiTheme="minorHAnsi" w:eastAsia="Calibri" w:hAnsiTheme="minorHAnsi"/>
          <w:lang w:eastAsia="en-US"/>
        </w:rPr>
      </w:pPr>
    </w:p>
    <w:p w:rsidR="00541B21" w:rsidRDefault="00541B21" w:rsidP="008D6436">
      <w:pPr>
        <w:spacing w:after="0" w:line="312" w:lineRule="auto"/>
        <w:jc w:val="both"/>
        <w:rPr>
          <w:rFonts w:asciiTheme="minorHAnsi" w:eastAsia="Calibri" w:hAnsiTheme="minorHAnsi"/>
          <w:lang w:eastAsia="en-US"/>
        </w:rPr>
      </w:pPr>
    </w:p>
    <w:p w:rsidR="008D6436" w:rsidRPr="004B5C39" w:rsidRDefault="008D6436" w:rsidP="008D6436">
      <w:pPr>
        <w:spacing w:after="0" w:line="312" w:lineRule="auto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Il sottoscritto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 xml:space="preserve"> ________________________________</w:t>
      </w:r>
      <w:r w:rsidRPr="004B5C39">
        <w:rPr>
          <w:rFonts w:asciiTheme="minorHAnsi" w:eastAsia="Calibri" w:hAnsiTheme="minorHAnsi"/>
          <w:lang w:eastAsia="en-US"/>
        </w:rPr>
        <w:t xml:space="preserve">, nato a 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________________________</w:t>
      </w:r>
      <w:r w:rsidRPr="004B5C39">
        <w:rPr>
          <w:rFonts w:asciiTheme="minorHAnsi" w:eastAsia="Calibri" w:hAnsiTheme="minorHAnsi"/>
          <w:lang w:eastAsia="en-US"/>
        </w:rPr>
        <w:t xml:space="preserve">il 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____________</w:t>
      </w:r>
      <w:r w:rsidRPr="004B5C39">
        <w:rPr>
          <w:rFonts w:asciiTheme="minorHAnsi" w:eastAsia="Calibri" w:hAnsiTheme="minorHAnsi"/>
          <w:lang w:eastAsia="en-US"/>
        </w:rPr>
        <w:t xml:space="preserve">, C.F. 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_________</w:t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t>__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</w:t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t>__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</w:t>
      </w:r>
      <w:r w:rsidRPr="004B5C39">
        <w:rPr>
          <w:rFonts w:asciiTheme="minorHAnsi" w:eastAsia="Calibri" w:hAnsiTheme="minorHAnsi"/>
          <w:lang w:eastAsia="en-US"/>
        </w:rPr>
        <w:t>, residente in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</w:t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t>___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</w:t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t>___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______________________</w:t>
      </w:r>
      <w:r w:rsidRPr="004B5C39">
        <w:rPr>
          <w:rFonts w:asciiTheme="minorHAnsi" w:eastAsia="Calibri" w:hAnsiTheme="minorHAnsi"/>
          <w:lang w:eastAsia="en-US"/>
        </w:rPr>
        <w:t xml:space="preserve">, Tel. 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</w:t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t>__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</w:t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t>___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_______</w:t>
      </w:r>
      <w:r w:rsidRPr="004B5C39">
        <w:rPr>
          <w:rFonts w:asciiTheme="minorHAnsi" w:eastAsia="Calibri" w:hAnsiTheme="minorHAnsi"/>
          <w:lang w:eastAsia="en-US"/>
        </w:rPr>
        <w:t xml:space="preserve">, e-mail 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__________________________</w:t>
      </w:r>
      <w:r w:rsidRPr="004B5C39">
        <w:rPr>
          <w:rFonts w:asciiTheme="minorHAnsi" w:eastAsia="Calibri" w:hAnsiTheme="minorHAnsi"/>
          <w:lang w:eastAsia="en-US"/>
        </w:rPr>
        <w:t xml:space="preserve">in qualità di legale rappresentante/procuratore/titolare dell’Agenzia di Viaggi e Turismo 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____________________________________________</w:t>
      </w:r>
    </w:p>
    <w:p w:rsidR="008D6436" w:rsidRPr="004B5C39" w:rsidRDefault="008D6436" w:rsidP="008D6436">
      <w:pPr>
        <w:spacing w:before="240" w:after="240" w:line="240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4B5C3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DICHIARA</w:t>
      </w:r>
    </w:p>
    <w:p w:rsidR="008D6436" w:rsidRPr="004B5C39" w:rsidRDefault="008D6436" w:rsidP="008D6436">
      <w:pPr>
        <w:spacing w:after="0" w:line="264" w:lineRule="auto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rilasciata.</w:t>
      </w:r>
    </w:p>
    <w:p w:rsidR="008D6436" w:rsidRPr="004B5C39" w:rsidRDefault="008D6436" w:rsidP="008D6436">
      <w:pPr>
        <w:numPr>
          <w:ilvl w:val="0"/>
          <w:numId w:val="1"/>
        </w:numPr>
        <w:spacing w:before="240" w:after="0" w:line="264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 xml:space="preserve">Di essere legale rappresentante/procuratore/titolare dell’Agenzia di Viaggi e Turismo 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</w:t>
      </w:r>
      <w:r w:rsidR="00EB3A0B">
        <w:rPr>
          <w:rFonts w:asciiTheme="minorHAnsi" w:eastAsia="Calibri" w:hAnsiTheme="minorHAnsi"/>
          <w:color w:val="BFBFBF" w:themeColor="background1" w:themeShade="BF"/>
          <w:lang w:eastAsia="en-US"/>
        </w:rPr>
        <w:t>_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________ ________________</w:t>
      </w:r>
      <w:r w:rsidR="00EB3A0B">
        <w:rPr>
          <w:rFonts w:asciiTheme="minorHAnsi" w:eastAsia="Calibri" w:hAnsiTheme="minorHAnsi"/>
          <w:color w:val="BFBFBF" w:themeColor="background1" w:themeShade="BF"/>
          <w:lang w:eastAsia="en-US"/>
        </w:rPr>
        <w:t>___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</w:t>
      </w:r>
      <w:r w:rsidRPr="004B5C39">
        <w:rPr>
          <w:rFonts w:asciiTheme="minorHAnsi" w:eastAsia="Calibri" w:hAnsiTheme="minorHAnsi"/>
          <w:lang w:eastAsia="en-US"/>
        </w:rPr>
        <w:t>; e conseguentemente di avere l’idoneità alla sottoscrizione degli atti della presente gara;</w:t>
      </w:r>
    </w:p>
    <w:p w:rsidR="008D6436" w:rsidRPr="004B5C39" w:rsidRDefault="008D6436" w:rsidP="008D6436">
      <w:pPr>
        <w:numPr>
          <w:ilvl w:val="0"/>
          <w:numId w:val="1"/>
        </w:numPr>
        <w:spacing w:after="120" w:line="264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di non trovarsi, in nessuno dei casi di cui all’art. 80 ”</w:t>
      </w:r>
      <w:r w:rsidRPr="004B5C39">
        <w:rPr>
          <w:rFonts w:asciiTheme="minorHAnsi" w:eastAsia="Calibri" w:hAnsiTheme="minorHAnsi"/>
          <w:i/>
          <w:lang w:eastAsia="en-US"/>
        </w:rPr>
        <w:t>Requisiti di ordine generale”</w:t>
      </w:r>
      <w:r w:rsidRPr="004B5C39">
        <w:rPr>
          <w:rFonts w:asciiTheme="minorHAnsi" w:eastAsia="Calibri" w:hAnsiTheme="minorHAnsi"/>
          <w:lang w:eastAsia="en-US"/>
        </w:rPr>
        <w:t xml:space="preserve"> del D.Lgs n. 50/2016, ovvero dichiara:</w:t>
      </w:r>
    </w:p>
    <w:p w:rsidR="008D6436" w:rsidRPr="004B5C39" w:rsidRDefault="008D6436" w:rsidP="008D6436">
      <w:pPr>
        <w:numPr>
          <w:ilvl w:val="0"/>
          <w:numId w:val="2"/>
        </w:numPr>
        <w:spacing w:after="0" w:line="264" w:lineRule="auto"/>
        <w:ind w:left="1418" w:hanging="284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di non essere in stato di fallimento, liquidazione coatta, concordato preventivo;</w:t>
      </w:r>
    </w:p>
    <w:p w:rsidR="008D6436" w:rsidRPr="004B5C39" w:rsidRDefault="008D6436" w:rsidP="008D6436">
      <w:pPr>
        <w:numPr>
          <w:ilvl w:val="0"/>
          <w:numId w:val="2"/>
        </w:numPr>
        <w:spacing w:after="0" w:line="264" w:lineRule="auto"/>
        <w:ind w:left="1418" w:hanging="284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di non essere pendente in alcun procedimento per l’applicazione di una delle misure di cui all’art. 3 della legge 27 dicembre 1956, n. 1423 o di una delle cause ostative previste dall’articolo 10 della legge 31 maggio 1965, n. 575;</w:t>
      </w:r>
    </w:p>
    <w:p w:rsidR="008D6436" w:rsidRPr="004B5C39" w:rsidRDefault="008D6436" w:rsidP="008D6436">
      <w:pPr>
        <w:numPr>
          <w:ilvl w:val="0"/>
          <w:numId w:val="2"/>
        </w:numPr>
        <w:spacing w:after="0" w:line="264" w:lineRule="auto"/>
        <w:ind w:left="1418" w:hanging="284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riciclaggio;</w:t>
      </w:r>
    </w:p>
    <w:p w:rsidR="008D6436" w:rsidRPr="004B5C39" w:rsidRDefault="008D6436" w:rsidP="008D6436">
      <w:pPr>
        <w:numPr>
          <w:ilvl w:val="0"/>
          <w:numId w:val="2"/>
        </w:numPr>
        <w:spacing w:after="0" w:line="264" w:lineRule="auto"/>
        <w:ind w:left="1418" w:hanging="284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di non aver violato il divieto di intestazione fiduciaria posto dall’articolo 17 della legge 19 marzo 1990, n. 55;</w:t>
      </w:r>
    </w:p>
    <w:p w:rsidR="008D6436" w:rsidRPr="004B5C39" w:rsidRDefault="008D6436" w:rsidP="008D6436">
      <w:pPr>
        <w:numPr>
          <w:ilvl w:val="0"/>
          <w:numId w:val="2"/>
        </w:numPr>
        <w:spacing w:after="0" w:line="264" w:lineRule="auto"/>
        <w:ind w:left="1418" w:hanging="284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di non aver commesso gravi infrazioni debitamente accertate alle norme in materia di sicurezza e ogni altro obbligo derivante dai rapporti di lavoro, risultanti dai dati in possesso dell’Osservatorio;</w:t>
      </w:r>
    </w:p>
    <w:p w:rsidR="008D6436" w:rsidRPr="004B5C39" w:rsidRDefault="008D6436" w:rsidP="008D6436">
      <w:pPr>
        <w:numPr>
          <w:ilvl w:val="0"/>
          <w:numId w:val="2"/>
        </w:numPr>
        <w:spacing w:after="0" w:line="264" w:lineRule="auto"/>
        <w:ind w:left="1418" w:hanging="284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 xml:space="preserve">di non aver commesso, secondo motivata valutazione della stazione appaltante, grave negligenza o malafede nell’esecuzione delle prestazioni affidate dalla stazione appaltante </w:t>
      </w:r>
      <w:r w:rsidRPr="004B5C39">
        <w:rPr>
          <w:rFonts w:asciiTheme="minorHAnsi" w:eastAsia="Calibri" w:hAnsiTheme="minorHAnsi"/>
          <w:lang w:eastAsia="en-US"/>
        </w:rPr>
        <w:lastRenderedPageBreak/>
        <w:t>che bandisce la gara, o errore grave nell’esercizio della propria attività professionale, accertato con qualsiasi mezzo di prova da parte della stazione appaltante;</w:t>
      </w:r>
    </w:p>
    <w:p w:rsidR="008D6436" w:rsidRPr="004B5C39" w:rsidRDefault="008D6436" w:rsidP="008D6436">
      <w:pPr>
        <w:numPr>
          <w:ilvl w:val="0"/>
          <w:numId w:val="2"/>
        </w:numPr>
        <w:spacing w:after="0" w:line="264" w:lineRule="auto"/>
        <w:ind w:left="1418" w:hanging="284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di non aver commesso violazioni, definitivamente accertate, rispetto agli obblighi relativi al pagamento delle imposte e tasse, secondo la legislazione italiana;</w:t>
      </w:r>
    </w:p>
    <w:p w:rsidR="008D6436" w:rsidRPr="004B5C39" w:rsidRDefault="008D6436" w:rsidP="008D6436">
      <w:pPr>
        <w:numPr>
          <w:ilvl w:val="0"/>
          <w:numId w:val="2"/>
        </w:numPr>
        <w:spacing w:after="0" w:line="264" w:lineRule="auto"/>
        <w:ind w:left="1418" w:hanging="284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che nell’anno antecedente la data di inoltro dell’invito a partecipare alla gara in oggetto, non sono state rese false dichiarazioni in merito ai requisiti e alle condizioni rilevanti per la partecipazione alle procedure di gara e per l’affidamento di subappalti, risultanti dai dati in possesso dell’Osservatorio;</w:t>
      </w:r>
    </w:p>
    <w:p w:rsidR="008D6436" w:rsidRPr="004B5C39" w:rsidRDefault="008D6436" w:rsidP="008D6436">
      <w:pPr>
        <w:numPr>
          <w:ilvl w:val="0"/>
          <w:numId w:val="2"/>
        </w:numPr>
        <w:spacing w:after="0" w:line="264" w:lineRule="auto"/>
        <w:ind w:left="1418" w:hanging="284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 xml:space="preserve">di non aver commesso violazioni gravi, definitivamente accertate, alle norme in materia di contributi previdenziali e assistenziali, secondo la legislazione italiana; </w:t>
      </w:r>
    </w:p>
    <w:p w:rsidR="008D6436" w:rsidRPr="004B5C39" w:rsidRDefault="008D6436" w:rsidP="008D6436">
      <w:pPr>
        <w:numPr>
          <w:ilvl w:val="0"/>
          <w:numId w:val="2"/>
        </w:numPr>
        <w:spacing w:after="0" w:line="264" w:lineRule="auto"/>
        <w:ind w:left="1418" w:hanging="284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di non presentarsi in caso di certificazione di cui all’articolo 17 della legge 12 marzo 1999, n. 68;</w:t>
      </w:r>
    </w:p>
    <w:p w:rsidR="008D6436" w:rsidRPr="004B5C39" w:rsidRDefault="008D6436" w:rsidP="008D6436">
      <w:pPr>
        <w:numPr>
          <w:ilvl w:val="0"/>
          <w:numId w:val="2"/>
        </w:numPr>
        <w:spacing w:after="0" w:line="264" w:lineRule="auto"/>
        <w:ind w:left="1418" w:hanging="284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di non trovarsi in caso di sanzione interdittiva di cui all’articolo 9 comma 2 lett. c del D. Lgs 8 giugno 2001, n. 231 o altra sanzione che comporta il divieto di contrarre con altra Pubblica Amministrazione, compresi i provvedimenti interdittivi di cui all’articolo 36 – bis, comma 1, del decreto legge 4 luglio 2006, n. 223, convertito con modificazioni, dalla legge 4 agosto 2006, n. 248;</w:t>
      </w:r>
    </w:p>
    <w:p w:rsidR="008D6436" w:rsidRPr="004B5C39" w:rsidRDefault="008D6436" w:rsidP="008D6436">
      <w:pPr>
        <w:numPr>
          <w:ilvl w:val="0"/>
          <w:numId w:val="2"/>
        </w:numPr>
        <w:spacing w:after="0" w:line="264" w:lineRule="auto"/>
        <w:ind w:left="1418" w:hanging="284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di non trovarsi nel caso di sospensione o decadenza dell’attestazione SOA per aver prodotto falsa documentazione o dichiarazioni mendaci, risultanti dal casellario informatico;</w:t>
      </w:r>
    </w:p>
    <w:p w:rsidR="008D6436" w:rsidRPr="004B5C39" w:rsidRDefault="008D6436" w:rsidP="008D6436">
      <w:pPr>
        <w:numPr>
          <w:ilvl w:val="0"/>
          <w:numId w:val="2"/>
        </w:numPr>
        <w:spacing w:after="0" w:line="264" w:lineRule="auto"/>
        <w:ind w:left="1418" w:hanging="284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di non essere, rispetto ad un altro partecipante alla medesima procedura di affidamento, in una situazione di controllo di cui all’articolo 2359 del codice civile.</w:t>
      </w:r>
    </w:p>
    <w:p w:rsidR="008D6436" w:rsidRPr="004B5C39" w:rsidRDefault="008D6436" w:rsidP="008D6436">
      <w:pPr>
        <w:numPr>
          <w:ilvl w:val="0"/>
          <w:numId w:val="1"/>
        </w:numPr>
        <w:spacing w:before="120" w:after="0" w:line="264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di osservare tutte le norme dettate in materia di sicurezza e condizioni del luogo di lavoro dei propri dipendenti, ex D. Lgs 81/2008;</w:t>
      </w:r>
    </w:p>
    <w:p w:rsidR="008D6436" w:rsidRPr="004B5C39" w:rsidRDefault="008D6436" w:rsidP="008D6436">
      <w:pPr>
        <w:numPr>
          <w:ilvl w:val="0"/>
          <w:numId w:val="1"/>
        </w:numPr>
        <w:spacing w:after="0" w:line="264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8D6436" w:rsidRPr="004B5C39" w:rsidRDefault="008D6436" w:rsidP="008D6436">
      <w:pPr>
        <w:numPr>
          <w:ilvl w:val="0"/>
          <w:numId w:val="1"/>
        </w:numPr>
        <w:spacing w:after="0" w:line="264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8D6436" w:rsidRPr="004B5C39" w:rsidRDefault="008D6436" w:rsidP="008D6436">
      <w:pPr>
        <w:numPr>
          <w:ilvl w:val="0"/>
          <w:numId w:val="1"/>
        </w:numPr>
        <w:spacing w:after="0" w:line="264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di aver giudicato il prezzo posto a base di gara e quello presentato nell’offerta tecnica pienamente remunerativi e tali da consentire l’offerta presentata,</w:t>
      </w:r>
    </w:p>
    <w:p w:rsidR="008D6436" w:rsidRPr="004B5C39" w:rsidRDefault="008D6436" w:rsidP="008D6436">
      <w:pPr>
        <w:numPr>
          <w:ilvl w:val="0"/>
          <w:numId w:val="1"/>
        </w:numPr>
        <w:spacing w:after="0" w:line="264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di acconsentire ai sensi e per gli effetti del D. Lgs n. 50/2016 al trattamento dei dati per la presente procedura,</w:t>
      </w:r>
    </w:p>
    <w:p w:rsidR="008D6436" w:rsidRPr="004B5C39" w:rsidRDefault="008D6436" w:rsidP="008D6436">
      <w:pPr>
        <w:numPr>
          <w:ilvl w:val="0"/>
          <w:numId w:val="1"/>
        </w:numPr>
        <w:spacing w:after="0" w:line="264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 xml:space="preserve">di essere iscritto alla Camera di Commercio, con il nr. 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 xml:space="preserve">_________________ </w:t>
      </w:r>
      <w:r w:rsidRPr="004B5C39">
        <w:rPr>
          <w:rFonts w:asciiTheme="minorHAnsi" w:eastAsia="Calibri" w:hAnsiTheme="minorHAnsi"/>
          <w:lang w:eastAsia="en-US"/>
        </w:rPr>
        <w:t>(si allega copia del certificato di iscrizione alla Camera di Commercio)</w:t>
      </w:r>
    </w:p>
    <w:p w:rsidR="008D6436" w:rsidRPr="004B5C39" w:rsidRDefault="008D6436" w:rsidP="008D6436">
      <w:pPr>
        <w:numPr>
          <w:ilvl w:val="0"/>
          <w:numId w:val="1"/>
        </w:numPr>
        <w:spacing w:after="0" w:line="264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 xml:space="preserve">di autorizzare la stazione appaltante ad effettuare le comunicazioni di cui all’articolo 52 del D. Lgs n. 50/2016 a mezzo posta elettronica al seguente indirizzo 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________________</w:t>
      </w:r>
      <w:r w:rsidRPr="004B5C39">
        <w:rPr>
          <w:rFonts w:asciiTheme="minorHAnsi" w:eastAsia="Calibri" w:hAnsiTheme="minorHAnsi"/>
          <w:lang w:eastAsia="en-US"/>
        </w:rPr>
        <w:t xml:space="preserve">. Si allega fotocopia del documento di identità in corso di validità del legale rappresentante/procuratore/titolare </w:t>
      </w:r>
    </w:p>
    <w:p w:rsidR="008D6436" w:rsidRPr="004B5C39" w:rsidRDefault="008D6436" w:rsidP="008D6436">
      <w:pPr>
        <w:numPr>
          <w:ilvl w:val="0"/>
          <w:numId w:val="1"/>
        </w:numPr>
        <w:ind w:left="851" w:hanging="425"/>
        <w:contextualSpacing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di possedere l’autorizzazio</w:t>
      </w:r>
      <w:r>
        <w:rPr>
          <w:rFonts w:asciiTheme="minorHAnsi" w:eastAsia="Calibri" w:hAnsiTheme="minorHAnsi"/>
          <w:lang w:eastAsia="en-US"/>
        </w:rPr>
        <w:t>ne regionale all'esercizio dell’attività professionale</w:t>
      </w:r>
      <w:r w:rsidRPr="004B5C39">
        <w:rPr>
          <w:rFonts w:asciiTheme="minorHAnsi" w:eastAsia="Calibri" w:hAnsiTheme="minorHAnsi"/>
          <w:lang w:eastAsia="en-US"/>
        </w:rPr>
        <w:t xml:space="preserve"> d</w:t>
      </w:r>
      <w:r>
        <w:rPr>
          <w:rFonts w:asciiTheme="minorHAnsi" w:eastAsia="Calibri" w:hAnsiTheme="minorHAnsi"/>
          <w:lang w:eastAsia="en-US"/>
        </w:rPr>
        <w:t>i Agenzia</w:t>
      </w:r>
      <w:r w:rsidRPr="004B5C39">
        <w:rPr>
          <w:rFonts w:asciiTheme="minorHAnsi" w:eastAsia="Calibri" w:hAnsiTheme="minorHAnsi"/>
          <w:lang w:eastAsia="en-US"/>
        </w:rPr>
        <w:t xml:space="preserve"> di Viaggi e Turismo con indicazione degli estremi e dei riferimenti in ordine all'iscrizione, nell'apposito registro elenco, del titolare e del direttore tecnico</w:t>
      </w:r>
    </w:p>
    <w:p w:rsidR="008D6436" w:rsidRPr="004B5C39" w:rsidRDefault="008D6436" w:rsidP="008D6436">
      <w:pPr>
        <w:numPr>
          <w:ilvl w:val="0"/>
          <w:numId w:val="1"/>
        </w:numPr>
        <w:spacing w:after="120" w:line="264" w:lineRule="auto"/>
        <w:ind w:left="850" w:hanging="425"/>
        <w:contextualSpacing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 xml:space="preserve">Di garantire, </w:t>
      </w:r>
      <w:r>
        <w:rPr>
          <w:rFonts w:asciiTheme="minorHAnsi" w:eastAsia="Calibri" w:hAnsiTheme="minorHAnsi"/>
          <w:lang w:eastAsia="en-US"/>
        </w:rPr>
        <w:t xml:space="preserve">nel caso in cui vengano utilizzati autobus </w:t>
      </w:r>
      <w:r w:rsidRPr="004B5C39">
        <w:rPr>
          <w:rFonts w:asciiTheme="minorHAnsi" w:eastAsia="Calibri" w:hAnsiTheme="minorHAnsi"/>
          <w:lang w:eastAsia="en-US"/>
        </w:rPr>
        <w:t>per il trasporto di persone, quanto segue:</w:t>
      </w:r>
    </w:p>
    <w:p w:rsidR="008D6436" w:rsidRPr="004B5C39" w:rsidRDefault="008D6436" w:rsidP="008D6436">
      <w:pPr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left="1418" w:hanging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5C39">
        <w:rPr>
          <w:rFonts w:asciiTheme="minorHAnsi" w:eastAsiaTheme="minorHAnsi" w:hAnsiTheme="minorHAnsi" w:cstheme="minorHAnsi"/>
          <w:color w:val="000000"/>
          <w:lang w:eastAsia="en-US"/>
        </w:rPr>
        <w:t>impiego di pullman tipo Gran Turismo immatricolati per prima volta da non oltre 10 anni e muniti del visto di revisione tecnica rilasciato dalla M.C.T.C.;</w:t>
      </w:r>
    </w:p>
    <w:p w:rsidR="008D6436" w:rsidRPr="004B5C39" w:rsidRDefault="008D6436" w:rsidP="008D6436">
      <w:pPr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left="1418" w:hanging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5C39">
        <w:rPr>
          <w:rFonts w:asciiTheme="minorHAnsi" w:eastAsiaTheme="minorHAnsi" w:hAnsiTheme="minorHAnsi" w:cstheme="minorHAnsi"/>
          <w:color w:val="000000"/>
          <w:lang w:eastAsia="en-US"/>
        </w:rPr>
        <w:t>attestazione dell'avvenuto controllo dell'efficienza del cronotachigrafo rilasciata da una officina autorizzata;</w:t>
      </w:r>
    </w:p>
    <w:p w:rsidR="008D6436" w:rsidRPr="004B5C39" w:rsidRDefault="008D6436" w:rsidP="008D6436">
      <w:pPr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ind w:left="1418" w:hanging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5C39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disponibilità di esibire all’inizio di ogni viaggio la carta di circolazione dell’autoveicolo, polizza assicurativa e la dichiarazione di efficienza dei pneumatici, nonché eventuali verifiche dell’affidabilità dei dispositivi d’illuminazione, specchi retrovisori, cartellistica di sicurezza per il viaggiatore e capienza massima ammessa per l’autoveicolo;</w:t>
      </w:r>
    </w:p>
    <w:p w:rsidR="008D6436" w:rsidRPr="00637B81" w:rsidRDefault="008D6436" w:rsidP="008D6436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851" w:hanging="425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637B81">
        <w:rPr>
          <w:rFonts w:asciiTheme="minorHAnsi" w:eastAsiaTheme="minorHAnsi" w:hAnsiTheme="minorHAnsi" w:cstheme="minorHAnsi"/>
          <w:color w:val="000000"/>
          <w:lang w:eastAsia="en-US"/>
        </w:rPr>
        <w:t xml:space="preserve">Di garantire, </w:t>
      </w:r>
      <w:r w:rsidRPr="00637B81">
        <w:rPr>
          <w:rFonts w:asciiTheme="minorHAnsi" w:eastAsia="Calibri" w:hAnsiTheme="minorHAnsi" w:cstheme="minorHAnsi"/>
          <w:color w:val="000000"/>
          <w:lang w:eastAsia="en-US"/>
        </w:rPr>
        <w:t>in relazione ai conducenti di mezzi adibiti al trasporto di persone, quanto segue:</w:t>
      </w:r>
    </w:p>
    <w:p w:rsidR="008D6436" w:rsidRPr="004B5C39" w:rsidRDefault="008D6436" w:rsidP="008D6436">
      <w:pPr>
        <w:numPr>
          <w:ilvl w:val="0"/>
          <w:numId w:val="4"/>
        </w:numPr>
        <w:spacing w:after="0" w:line="264" w:lineRule="auto"/>
        <w:ind w:left="1418" w:hanging="284"/>
        <w:contextualSpacing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rispetto delle norme relative agli intervalli di guida e riposo dei conducenti di automezzi;</w:t>
      </w:r>
    </w:p>
    <w:p w:rsidR="008D6436" w:rsidRPr="004B5C39" w:rsidRDefault="008D6436" w:rsidP="008D6436">
      <w:pPr>
        <w:numPr>
          <w:ilvl w:val="0"/>
          <w:numId w:val="4"/>
        </w:numPr>
        <w:spacing w:after="0" w:line="264" w:lineRule="auto"/>
        <w:ind w:left="1418" w:hanging="284"/>
        <w:contextualSpacing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possesso di idonea patente guida e abilitazione professionale;</w:t>
      </w:r>
    </w:p>
    <w:p w:rsidR="008D6436" w:rsidRPr="004B5C39" w:rsidRDefault="008D6436" w:rsidP="008D6436">
      <w:pPr>
        <w:numPr>
          <w:ilvl w:val="0"/>
          <w:numId w:val="4"/>
        </w:numPr>
        <w:spacing w:after="0" w:line="264" w:lineRule="auto"/>
        <w:ind w:left="1418" w:hanging="284"/>
        <w:contextualSpacing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idoneità psico-fisica dei conducenti e rispetto delle velocità massime adeguandole alle caratteristiche e condizioni della strada, del traffico e delle condizioni climatiche;</w:t>
      </w:r>
    </w:p>
    <w:p w:rsidR="008D6436" w:rsidRPr="004B5C39" w:rsidRDefault="008D6436" w:rsidP="008D6436">
      <w:pPr>
        <w:numPr>
          <w:ilvl w:val="0"/>
          <w:numId w:val="4"/>
        </w:numPr>
        <w:spacing w:after="0" w:line="264" w:lineRule="auto"/>
        <w:ind w:left="1418" w:hanging="284"/>
        <w:contextualSpacing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il conducente non deve fare uso di telefono cellulare o altri dispositivi che lo possano distrarre durante la guida.</w:t>
      </w:r>
    </w:p>
    <w:p w:rsidR="008D6436" w:rsidRPr="004B5C39" w:rsidRDefault="008D6436" w:rsidP="008D6436">
      <w:pPr>
        <w:spacing w:after="0" w:line="264" w:lineRule="auto"/>
        <w:jc w:val="both"/>
        <w:rPr>
          <w:rFonts w:asciiTheme="minorHAnsi" w:eastAsia="Calibri" w:hAnsiTheme="minorHAnsi"/>
          <w:lang w:eastAsia="en-US"/>
        </w:rPr>
      </w:pPr>
    </w:p>
    <w:p w:rsidR="008D6436" w:rsidRPr="004B5C39" w:rsidRDefault="008D6436" w:rsidP="008D6436">
      <w:pPr>
        <w:spacing w:after="0"/>
        <w:ind w:left="720"/>
        <w:jc w:val="both"/>
        <w:rPr>
          <w:rFonts w:ascii="Times New Roman" w:eastAsia="Calibri" w:hAnsi="Times New Roman"/>
          <w:lang w:eastAsia="en-US"/>
        </w:rPr>
      </w:pPr>
    </w:p>
    <w:p w:rsidR="00443E45" w:rsidRDefault="00443E45" w:rsidP="00443E45">
      <w:pPr>
        <w:spacing w:after="0" w:line="240" w:lineRule="auto"/>
        <w:jc w:val="both"/>
        <w:rPr>
          <w:rFonts w:asciiTheme="minorHAnsi" w:eastAsia="Calibri" w:hAnsiTheme="minorHAnsi"/>
          <w:color w:val="BFBFBF" w:themeColor="background1" w:themeShade="BF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Luogo e data, </w:t>
      </w:r>
      <w:r w:rsidRPr="00D47B46">
        <w:rPr>
          <w:rFonts w:asciiTheme="minorHAnsi" w:eastAsia="Calibri" w:hAnsiTheme="minorHAnsi"/>
          <w:color w:val="BFBFBF" w:themeColor="background1" w:themeShade="BF"/>
          <w:lang w:eastAsia="en-US"/>
        </w:rPr>
        <w:t>________________________________</w:t>
      </w:r>
    </w:p>
    <w:p w:rsidR="00443E45" w:rsidRDefault="00443E45" w:rsidP="00443E45">
      <w:pPr>
        <w:spacing w:after="0" w:line="240" w:lineRule="auto"/>
        <w:ind w:firstLine="5245"/>
        <w:jc w:val="both"/>
        <w:rPr>
          <w:rFonts w:asciiTheme="minorHAnsi" w:eastAsia="Calibri" w:hAnsiTheme="minorHAnsi"/>
          <w:color w:val="BFBFBF" w:themeColor="background1" w:themeShade="BF"/>
          <w:lang w:eastAsia="en-US"/>
        </w:rPr>
      </w:pP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  <w:t>_____________________________________</w:t>
      </w:r>
    </w:p>
    <w:p w:rsidR="00443E45" w:rsidRPr="00E92281" w:rsidRDefault="00443E45" w:rsidP="00443E45">
      <w:pPr>
        <w:spacing w:after="0" w:line="240" w:lineRule="auto"/>
        <w:ind w:firstLine="6946"/>
        <w:jc w:val="both"/>
        <w:rPr>
          <w:rFonts w:asciiTheme="minorHAnsi" w:eastAsia="Calibri" w:hAnsiTheme="minorHAnsi"/>
          <w:i/>
          <w:lang w:eastAsia="en-US"/>
        </w:rPr>
      </w:pPr>
      <w:r w:rsidRPr="00D47B46">
        <w:rPr>
          <w:rFonts w:asciiTheme="minorHAnsi" w:eastAsia="Calibri" w:hAnsiTheme="minorHAnsi"/>
          <w:i/>
          <w:lang w:eastAsia="en-US"/>
        </w:rPr>
        <w:t>(firma)</w:t>
      </w:r>
    </w:p>
    <w:p w:rsidR="00A31EE8" w:rsidRDefault="00A31EE8"/>
    <w:sectPr w:rsidR="00A31EE8" w:rsidSect="00541B21">
      <w:footerReference w:type="default" r:id="rId7"/>
      <w:pgSz w:w="11906" w:h="16838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91" w:rsidRDefault="00E97B91" w:rsidP="00541B21">
      <w:pPr>
        <w:spacing w:after="0" w:line="240" w:lineRule="auto"/>
      </w:pPr>
      <w:r>
        <w:separator/>
      </w:r>
    </w:p>
  </w:endnote>
  <w:endnote w:type="continuationSeparator" w:id="1">
    <w:p w:rsidR="00E97B91" w:rsidRDefault="00E97B91" w:rsidP="0054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43287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41B21" w:rsidRPr="00CD49C9" w:rsidRDefault="00CD49C9">
        <w:pPr>
          <w:pStyle w:val="Pidipagina"/>
          <w:jc w:val="center"/>
          <w:rPr>
            <w:sz w:val="18"/>
            <w:szCs w:val="18"/>
          </w:rPr>
        </w:pPr>
        <w:r w:rsidRPr="00CD49C9">
          <w:rPr>
            <w:sz w:val="18"/>
            <w:szCs w:val="18"/>
          </w:rPr>
          <w:t>Allegato “B”</w:t>
        </w:r>
        <w:r w:rsidR="005447CC" w:rsidRPr="00CD49C9">
          <w:rPr>
            <w:sz w:val="18"/>
            <w:szCs w:val="18"/>
          </w:rPr>
          <w:fldChar w:fldCharType="begin"/>
        </w:r>
        <w:r w:rsidR="00541B21" w:rsidRPr="00CD49C9">
          <w:rPr>
            <w:sz w:val="18"/>
            <w:szCs w:val="18"/>
          </w:rPr>
          <w:instrText>PAGE   \* MERGEFORMAT</w:instrText>
        </w:r>
        <w:r w:rsidR="005447CC" w:rsidRPr="00CD49C9">
          <w:rPr>
            <w:sz w:val="18"/>
            <w:szCs w:val="18"/>
          </w:rPr>
          <w:fldChar w:fldCharType="separate"/>
        </w:r>
        <w:r w:rsidR="00002FC3">
          <w:rPr>
            <w:noProof/>
            <w:sz w:val="18"/>
            <w:szCs w:val="18"/>
          </w:rPr>
          <w:t>3</w:t>
        </w:r>
        <w:r w:rsidR="005447CC" w:rsidRPr="00CD49C9">
          <w:rPr>
            <w:sz w:val="18"/>
            <w:szCs w:val="18"/>
          </w:rPr>
          <w:fldChar w:fldCharType="end"/>
        </w:r>
        <w:r w:rsidR="00541B21" w:rsidRPr="00CD49C9">
          <w:rPr>
            <w:sz w:val="18"/>
            <w:szCs w:val="18"/>
          </w:rPr>
          <w:t>/3</w:t>
        </w:r>
      </w:p>
    </w:sdtContent>
  </w:sdt>
  <w:p w:rsidR="00541B21" w:rsidRDefault="00541B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91" w:rsidRDefault="00E97B91" w:rsidP="00541B21">
      <w:pPr>
        <w:spacing w:after="0" w:line="240" w:lineRule="auto"/>
      </w:pPr>
      <w:r>
        <w:separator/>
      </w:r>
    </w:p>
  </w:footnote>
  <w:footnote w:type="continuationSeparator" w:id="1">
    <w:p w:rsidR="00E97B91" w:rsidRDefault="00E97B91" w:rsidP="0054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06D1"/>
    <w:multiLevelType w:val="hybridMultilevel"/>
    <w:tmpl w:val="6EFC4B9C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90A7F2C"/>
    <w:multiLevelType w:val="hybridMultilevel"/>
    <w:tmpl w:val="3F4006C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436"/>
    <w:rsid w:val="00002FC3"/>
    <w:rsid w:val="002A710E"/>
    <w:rsid w:val="002B0C1A"/>
    <w:rsid w:val="003D2284"/>
    <w:rsid w:val="003E17A9"/>
    <w:rsid w:val="003E225F"/>
    <w:rsid w:val="00413A96"/>
    <w:rsid w:val="00443E45"/>
    <w:rsid w:val="00494032"/>
    <w:rsid w:val="004F5553"/>
    <w:rsid w:val="00541B21"/>
    <w:rsid w:val="005447CC"/>
    <w:rsid w:val="00586C4D"/>
    <w:rsid w:val="00600020"/>
    <w:rsid w:val="006A430A"/>
    <w:rsid w:val="006D41E7"/>
    <w:rsid w:val="006E40C8"/>
    <w:rsid w:val="006F1435"/>
    <w:rsid w:val="008D6436"/>
    <w:rsid w:val="00A31EE8"/>
    <w:rsid w:val="00A72EA9"/>
    <w:rsid w:val="00B35A2B"/>
    <w:rsid w:val="00C7752E"/>
    <w:rsid w:val="00C83AE7"/>
    <w:rsid w:val="00CD49C9"/>
    <w:rsid w:val="00D71292"/>
    <w:rsid w:val="00E97B91"/>
    <w:rsid w:val="00EB3A0B"/>
    <w:rsid w:val="00F1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43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1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B2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1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B21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 M-02</dc:creator>
  <cp:lastModifiedBy>UTENTE_02</cp:lastModifiedBy>
  <cp:revision>5</cp:revision>
  <dcterms:created xsi:type="dcterms:W3CDTF">2018-06-11T09:33:00Z</dcterms:created>
  <dcterms:modified xsi:type="dcterms:W3CDTF">2018-06-11T13:02:00Z</dcterms:modified>
</cp:coreProperties>
</file>